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DA" w:rsidRPr="001266DA" w:rsidRDefault="001266DA" w:rsidP="001266DA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color w:val="000000"/>
          <w:u w:val="single"/>
        </w:rPr>
      </w:pPr>
      <w:r w:rsidRPr="001266DA">
        <w:rPr>
          <w:rFonts w:ascii="Minion Pro" w:hAnsi="Minion Pro"/>
          <w:b/>
          <w:color w:val="000000"/>
          <w:u w:val="single"/>
        </w:rPr>
        <w:t xml:space="preserve">NACRT </w:t>
      </w:r>
    </w:p>
    <w:p w:rsidR="005E2EF0" w:rsidRDefault="005E2EF0" w:rsidP="005E2EF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7. stavka 9. Zakona o zaštiti od buke (»Narodne novine«, broj 30/09, 55/13, 153/13 i 41/16) ministar zdravstva uz prethodnu suglasnost ministara nadležnih za zaštitu okoliša, graditeljstvo i promet donosi</w:t>
      </w:r>
    </w:p>
    <w:p w:rsidR="005E2EF0" w:rsidRDefault="005E2EF0" w:rsidP="005E2EF0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:rsidR="005E2EF0" w:rsidRPr="00117891" w:rsidRDefault="005E2EF0" w:rsidP="005E2EF0">
      <w:pPr>
        <w:pStyle w:val="t-12-9-fett-s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117891">
        <w:rPr>
          <w:bCs w:val="0"/>
          <w:color w:val="000000"/>
          <w:sz w:val="24"/>
          <w:szCs w:val="24"/>
          <w:bdr w:val="none" w:sz="0" w:space="0" w:color="auto" w:frame="1"/>
        </w:rPr>
        <w:t>PRAVILNIK </w:t>
      </w:r>
      <w:r w:rsidRPr="00117891">
        <w:rPr>
          <w:bCs w:val="0"/>
          <w:color w:val="666666"/>
          <w:sz w:val="24"/>
          <w:szCs w:val="24"/>
          <w:bdr w:val="none" w:sz="0" w:space="0" w:color="auto" w:frame="1"/>
        </w:rPr>
        <w:br/>
      </w:r>
      <w:r>
        <w:rPr>
          <w:bCs w:val="0"/>
          <w:color w:val="000000"/>
          <w:sz w:val="24"/>
          <w:szCs w:val="24"/>
          <w:bdr w:val="none" w:sz="0" w:space="0" w:color="auto" w:frame="1"/>
        </w:rPr>
        <w:t xml:space="preserve">O IZMJENAMA I DOPUNAMA </w:t>
      </w:r>
      <w:r w:rsidRPr="00117891">
        <w:rPr>
          <w:bCs w:val="0"/>
          <w:color w:val="000000"/>
          <w:sz w:val="24"/>
          <w:szCs w:val="24"/>
          <w:bdr w:val="none" w:sz="0" w:space="0" w:color="auto" w:frame="1"/>
        </w:rPr>
        <w:t>PRAVILNIKA O NAČINU IZRADE I SADRŽAJU KARATA BUKE I AKCIJSKIH PLANOVA TE O NAČINU IZRAČUNA DOPUŠTENIH INDIKATORA BUKE</w:t>
      </w:r>
    </w:p>
    <w:p w:rsidR="005E2EF0" w:rsidRPr="00117891" w:rsidRDefault="005E2EF0" w:rsidP="005E2E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  <w:r w:rsidRPr="00117891">
        <w:rPr>
          <w:rFonts w:eastAsia="Times New Roman" w:cs="Times New Roman"/>
          <w:b/>
          <w:color w:val="000000"/>
          <w:szCs w:val="24"/>
          <w:lang w:eastAsia="hr-HR"/>
        </w:rPr>
        <w:t>Člana</w:t>
      </w:r>
      <w:bookmarkStart w:id="0" w:name="_GoBack"/>
      <w:bookmarkEnd w:id="0"/>
      <w:r w:rsidRPr="00117891">
        <w:rPr>
          <w:rFonts w:eastAsia="Times New Roman" w:cs="Times New Roman"/>
          <w:b/>
          <w:color w:val="000000"/>
          <w:szCs w:val="24"/>
          <w:lang w:eastAsia="hr-HR"/>
        </w:rPr>
        <w:t>k 1.</w:t>
      </w:r>
    </w:p>
    <w:p w:rsidR="005E2EF0" w:rsidRPr="007F6BD8" w:rsidRDefault="005E2EF0" w:rsidP="005E2EF0">
      <w:pPr>
        <w:spacing w:before="100" w:beforeAutospacing="1" w:after="100" w:afterAutospacing="1" w:line="240" w:lineRule="auto"/>
        <w:jc w:val="both"/>
        <w:rPr>
          <w:rFonts w:cs="Times New Roman"/>
          <w:color w:val="000000"/>
          <w:szCs w:val="24"/>
          <w:bdr w:val="none" w:sz="0" w:space="0" w:color="auto" w:frame="1"/>
        </w:rPr>
      </w:pPr>
      <w:r w:rsidRPr="00117891">
        <w:rPr>
          <w:rFonts w:eastAsia="Times New Roman" w:cs="Times New Roman"/>
          <w:color w:val="000000"/>
          <w:szCs w:val="24"/>
          <w:lang w:eastAsia="hr-HR"/>
        </w:rPr>
        <w:t xml:space="preserve">U Pravilniku </w:t>
      </w:r>
      <w:r w:rsidRPr="00117891">
        <w:rPr>
          <w:rFonts w:cs="Times New Roman"/>
          <w:color w:val="000000"/>
          <w:szCs w:val="24"/>
          <w:bdr w:val="none" w:sz="0" w:space="0" w:color="auto" w:frame="1"/>
        </w:rPr>
        <w:t>o načinu izrade i sadržaju karata buke i akcijskih planova te o načinu izračuna dopuštenih indikatora buke („</w:t>
      </w:r>
      <w:r w:rsidRPr="007F6BD8">
        <w:rPr>
          <w:rFonts w:cs="Times New Roman"/>
          <w:color w:val="000000"/>
          <w:szCs w:val="24"/>
          <w:bdr w:val="none" w:sz="0" w:space="0" w:color="auto" w:frame="1"/>
        </w:rPr>
        <w:t>Narodne novine“, broj 75/09 i 60/16) članak 1. a mijenja se i glasi:</w:t>
      </w:r>
    </w:p>
    <w:p w:rsidR="005E2EF0" w:rsidRPr="00117891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Pr="00117891">
        <w:rPr>
          <w:rFonts w:eastAsia="Times New Roman" w:cs="Times New Roman"/>
          <w:color w:val="000000"/>
          <w:szCs w:val="24"/>
          <w:lang w:eastAsia="hr-HR"/>
        </w:rPr>
        <w:t>Ovim se Pravilnikom u pravni pore</w:t>
      </w:r>
      <w:r>
        <w:rPr>
          <w:rFonts w:eastAsia="Times New Roman" w:cs="Times New Roman"/>
          <w:color w:val="000000"/>
          <w:szCs w:val="24"/>
          <w:lang w:eastAsia="hr-HR"/>
        </w:rPr>
        <w:t>dak Republike Hrvatske prenose:</w:t>
      </w:r>
    </w:p>
    <w:p w:rsidR="005E2EF0" w:rsidRPr="00604ACE" w:rsidRDefault="005E2EF0" w:rsidP="005E2E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117891">
        <w:rPr>
          <w:rFonts w:eastAsia="Times New Roman" w:cs="Times New Roman"/>
          <w:color w:val="000000"/>
          <w:szCs w:val="24"/>
          <w:lang w:eastAsia="hr-HR"/>
        </w:rPr>
        <w:t>- Direktiva 2002/49/EZ Europskoga parlamenta i Vije</w:t>
      </w:r>
      <w:r w:rsidRPr="00117891">
        <w:rPr>
          <w:rFonts w:eastAsia="Times New Roman" w:cs="Times New Roman" w:hint="eastAsia"/>
          <w:color w:val="000000"/>
          <w:szCs w:val="24"/>
          <w:lang w:eastAsia="hr-HR"/>
        </w:rPr>
        <w:t>ć</w:t>
      </w:r>
      <w:r w:rsidRPr="00117891">
        <w:rPr>
          <w:rFonts w:eastAsia="Times New Roman" w:cs="Times New Roman"/>
          <w:color w:val="000000"/>
          <w:szCs w:val="24"/>
          <w:lang w:eastAsia="hr-HR"/>
        </w:rPr>
        <w:t xml:space="preserve">a od 25. lipnja 2002. godine o procjeni i upravljanju bukom </w:t>
      </w:r>
      <w:r w:rsidRPr="00604ACE">
        <w:rPr>
          <w:rFonts w:eastAsia="Times New Roman" w:cs="Times New Roman"/>
          <w:szCs w:val="24"/>
          <w:lang w:eastAsia="hr-HR"/>
        </w:rPr>
        <w:t>okoli</w:t>
      </w:r>
      <w:r w:rsidRPr="00604ACE">
        <w:rPr>
          <w:rFonts w:eastAsia="Times New Roman" w:cs="Times New Roman" w:hint="eastAsia"/>
          <w:szCs w:val="24"/>
          <w:lang w:eastAsia="hr-HR"/>
        </w:rPr>
        <w:t>š</w:t>
      </w:r>
      <w:r w:rsidRPr="00604ACE">
        <w:rPr>
          <w:rFonts w:eastAsia="Times New Roman" w:cs="Times New Roman"/>
          <w:szCs w:val="24"/>
          <w:lang w:eastAsia="hr-HR"/>
        </w:rPr>
        <w:t>a i Izjava Komisije u Odboru za mirenje o Direktivi o procjeni i upravljanju bukom okoli</w:t>
      </w:r>
      <w:r w:rsidRPr="00604ACE">
        <w:rPr>
          <w:rFonts w:eastAsia="Times New Roman" w:cs="Times New Roman" w:hint="eastAsia"/>
          <w:szCs w:val="24"/>
          <w:lang w:eastAsia="hr-HR"/>
        </w:rPr>
        <w:t>š</w:t>
      </w:r>
      <w:r w:rsidRPr="00604ACE">
        <w:rPr>
          <w:rFonts w:eastAsia="Times New Roman" w:cs="Times New Roman"/>
          <w:szCs w:val="24"/>
          <w:lang w:eastAsia="hr-HR"/>
        </w:rPr>
        <w:t>a (SL 189, 18. 7. 2002.)</w:t>
      </w:r>
    </w:p>
    <w:p w:rsidR="005E2EF0" w:rsidRPr="00512EA1" w:rsidRDefault="005E2EF0" w:rsidP="005E2E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5E2EF0" w:rsidRDefault="005E2EF0" w:rsidP="005E2E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117891">
        <w:rPr>
          <w:rFonts w:eastAsia="Times New Roman" w:cs="Times New Roman"/>
          <w:color w:val="000000"/>
          <w:szCs w:val="24"/>
          <w:lang w:eastAsia="hr-HR"/>
        </w:rPr>
        <w:t xml:space="preserve">- </w:t>
      </w:r>
      <w:r w:rsidRPr="00117891">
        <w:rPr>
          <w:rFonts w:cs="Times New Roman"/>
        </w:rPr>
        <w:t xml:space="preserve">Direktiva </w:t>
      </w:r>
      <w:r w:rsidRPr="00117891">
        <w:rPr>
          <w:rFonts w:cs="Times New Roman"/>
          <w:bCs/>
        </w:rPr>
        <w:t xml:space="preserve">Komisije (EU) 2015/996 </w:t>
      </w:r>
      <w:proofErr w:type="spellStart"/>
      <w:r w:rsidRPr="00117891">
        <w:rPr>
          <w:rFonts w:cs="Times New Roman"/>
          <w:bCs/>
        </w:rPr>
        <w:t>оd</w:t>
      </w:r>
      <w:proofErr w:type="spellEnd"/>
      <w:r w:rsidRPr="00117891">
        <w:rPr>
          <w:rFonts w:cs="Times New Roman"/>
          <w:bCs/>
        </w:rPr>
        <w:t xml:space="preserve"> 19. svibnja 2015. o uspostavi zajedničkih metoda ocjene buke u skladu s Direktivom 2002/49/EZ Europskog parlamenta i Vijeća </w:t>
      </w:r>
      <w:r w:rsidRPr="00117891">
        <w:rPr>
          <w:rFonts w:eastAsia="Times New Roman" w:cs="Times New Roman"/>
          <w:color w:val="000000"/>
          <w:szCs w:val="24"/>
          <w:lang w:eastAsia="hr-HR"/>
        </w:rPr>
        <w:t>(SL 168/1, 1. 7. 2015.)</w:t>
      </w:r>
    </w:p>
    <w:p w:rsidR="005E2EF0" w:rsidRDefault="005E2EF0" w:rsidP="005E2E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E2EF0" w:rsidRDefault="005E2EF0" w:rsidP="005E2EF0">
      <w:pPr>
        <w:pStyle w:val="Default"/>
        <w:jc w:val="both"/>
        <w:rPr>
          <w:rFonts w:ascii="Times New Roman" w:eastAsiaTheme="minorHAnsi" w:cs="Times New Roman"/>
          <w:bCs/>
          <w:color w:val="auto"/>
          <w:szCs w:val="22"/>
        </w:rPr>
      </w:pPr>
      <w:r w:rsidRPr="00512EA1">
        <w:rPr>
          <w:rFonts w:ascii="Times New Roman" w:eastAsiaTheme="minorHAnsi" w:cs="Times New Roman"/>
          <w:bCs/>
          <w:color w:val="auto"/>
          <w:szCs w:val="22"/>
        </w:rPr>
        <w:t>-</w:t>
      </w:r>
      <w:r>
        <w:rPr>
          <w:rFonts w:ascii="Times New Roman" w:eastAsiaTheme="minorHAnsi" w:cs="Times New Roman"/>
          <w:bCs/>
          <w:color w:val="auto"/>
          <w:szCs w:val="22"/>
        </w:rPr>
        <w:t xml:space="preserve"> </w:t>
      </w:r>
      <w:r w:rsidRPr="00512EA1">
        <w:rPr>
          <w:rFonts w:ascii="Times New Roman" w:eastAsiaTheme="minorHAnsi" w:cs="Times New Roman"/>
          <w:bCs/>
          <w:color w:val="auto"/>
          <w:szCs w:val="22"/>
        </w:rPr>
        <w:t>Ispravak Direktive Komisije (EU) 2015/996 od 19. svibnja 2015. o uspostavi zajedni</w:t>
      </w:r>
      <w:r w:rsidRPr="00512EA1">
        <w:rPr>
          <w:rFonts w:ascii="Times New Roman" w:eastAsiaTheme="minorHAnsi" w:cs="Times New Roman" w:hint="eastAsia"/>
          <w:bCs/>
          <w:color w:val="auto"/>
          <w:szCs w:val="22"/>
        </w:rPr>
        <w:t>č</w:t>
      </w:r>
      <w:r w:rsidRPr="00512EA1">
        <w:rPr>
          <w:rFonts w:ascii="Times New Roman" w:eastAsiaTheme="minorHAnsi" w:cs="Times New Roman"/>
          <w:bCs/>
          <w:color w:val="auto"/>
          <w:szCs w:val="22"/>
        </w:rPr>
        <w:t>kih metoda ocjene buke u skladu s Direktivom 2002/49/EZ Europskog parlamenta i Vije</w:t>
      </w:r>
      <w:r w:rsidRPr="00512EA1">
        <w:rPr>
          <w:rFonts w:ascii="Times New Roman" w:eastAsiaTheme="minorHAnsi" w:cs="Times New Roman" w:hint="eastAsia"/>
          <w:bCs/>
          <w:color w:val="auto"/>
          <w:szCs w:val="22"/>
        </w:rPr>
        <w:t>ć</w:t>
      </w:r>
      <w:r w:rsidRPr="00512EA1">
        <w:rPr>
          <w:rFonts w:ascii="Times New Roman" w:eastAsiaTheme="minorHAnsi" w:cs="Times New Roman"/>
          <w:bCs/>
          <w:color w:val="auto"/>
          <w:szCs w:val="22"/>
        </w:rPr>
        <w:t>a (Slu</w:t>
      </w:r>
      <w:r w:rsidRPr="00512EA1">
        <w:rPr>
          <w:rFonts w:ascii="Times New Roman" w:eastAsiaTheme="minorHAnsi" w:cs="Times New Roman" w:hint="eastAsia"/>
          <w:bCs/>
          <w:color w:val="auto"/>
          <w:szCs w:val="22"/>
        </w:rPr>
        <w:t>ž</w:t>
      </w:r>
      <w:r w:rsidRPr="00512EA1">
        <w:rPr>
          <w:rFonts w:ascii="Times New Roman" w:eastAsiaTheme="minorHAnsi" w:cs="Times New Roman"/>
          <w:bCs/>
          <w:color w:val="auto"/>
          <w:szCs w:val="22"/>
        </w:rPr>
        <w:t>beni list Europske unije L 168 od 1. srpnja 2015.)“</w:t>
      </w:r>
      <w:r>
        <w:rPr>
          <w:rFonts w:ascii="Times New Roman" w:eastAsiaTheme="minorHAnsi" w:cs="Times New Roman"/>
          <w:bCs/>
          <w:color w:val="auto"/>
          <w:szCs w:val="22"/>
        </w:rPr>
        <w:t xml:space="preserve">   </w:t>
      </w:r>
    </w:p>
    <w:p w:rsidR="005E2EF0" w:rsidRDefault="005E2EF0" w:rsidP="005E2EF0">
      <w:pPr>
        <w:pStyle w:val="Default"/>
        <w:jc w:val="both"/>
        <w:rPr>
          <w:rFonts w:ascii="Times New Roman" w:eastAsiaTheme="minorHAnsi" w:cs="Times New Roman"/>
          <w:bCs/>
          <w:color w:val="FF0000"/>
          <w:szCs w:val="22"/>
        </w:rPr>
      </w:pPr>
    </w:p>
    <w:p w:rsidR="005E2EF0" w:rsidRPr="00512EA1" w:rsidRDefault="005E2EF0" w:rsidP="005E2E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  <w:r w:rsidRPr="00512EA1">
        <w:rPr>
          <w:rFonts w:eastAsia="Times New Roman" w:cs="Times New Roman"/>
          <w:b/>
          <w:color w:val="000000"/>
          <w:szCs w:val="24"/>
          <w:lang w:eastAsia="hr-HR"/>
        </w:rPr>
        <w:t>Članak 2.</w:t>
      </w:r>
    </w:p>
    <w:p w:rsidR="005E2EF0" w:rsidRPr="0040030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6653A3">
        <w:rPr>
          <w:rFonts w:eastAsia="Times New Roman" w:cs="Times New Roman"/>
          <w:color w:val="000000"/>
          <w:szCs w:val="24"/>
          <w:lang w:eastAsia="hr-HR"/>
        </w:rPr>
        <w:t>Članak 6. mijenja se i glasi:</w:t>
      </w:r>
    </w:p>
    <w:p w:rsidR="005E2EF0" w:rsidRPr="00395D6F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400300">
        <w:rPr>
          <w:rFonts w:eastAsia="Times New Roman" w:cs="Times New Roman"/>
          <w:color w:val="000000"/>
          <w:szCs w:val="24"/>
          <w:lang w:eastAsia="hr-HR"/>
        </w:rPr>
        <w:t>„Računalne metode proračuna i ocjene buke okoliša jesu metode koje su navedene u Prilogu II. koji je otisnut uz ovaj Pravilnik i čini njegov sastavni dio.“</w:t>
      </w:r>
    </w:p>
    <w:p w:rsidR="005E2EF0" w:rsidRDefault="005E2EF0" w:rsidP="005E2E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  <w:r>
        <w:rPr>
          <w:rFonts w:eastAsia="Times New Roman" w:cs="Times New Roman"/>
          <w:b/>
          <w:color w:val="000000"/>
          <w:szCs w:val="24"/>
          <w:lang w:eastAsia="hr-HR"/>
        </w:rPr>
        <w:t>Članak 3.</w:t>
      </w:r>
    </w:p>
    <w:p w:rsidR="005E2EF0" w:rsidRPr="00CC1E8D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U članku 7. riječ: „industrije“ mijenja se riječima: „industrijskih pogona i postrojenja“.</w:t>
      </w:r>
    </w:p>
    <w:p w:rsidR="005E2EF0" w:rsidRDefault="005E2EF0" w:rsidP="005E2E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  <w:r w:rsidRPr="00117891">
        <w:rPr>
          <w:rFonts w:eastAsia="Times New Roman" w:cs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 w:cs="Times New Roman"/>
          <w:b/>
          <w:color w:val="000000"/>
          <w:szCs w:val="24"/>
          <w:lang w:eastAsia="hr-HR"/>
        </w:rPr>
        <w:t>4</w:t>
      </w:r>
      <w:r w:rsidRPr="00117891">
        <w:rPr>
          <w:rFonts w:eastAsia="Times New Roman" w:cs="Times New Roman"/>
          <w:b/>
          <w:color w:val="000000"/>
          <w:szCs w:val="24"/>
          <w:lang w:eastAsia="hr-HR"/>
        </w:rPr>
        <w:t>.</w:t>
      </w:r>
    </w:p>
    <w:p w:rsidR="005E2EF0" w:rsidRPr="00CC1E8D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U članku 9. stavku 1. riječ: „industriju“ mijenja se riječima: „industrijskih pogona i postrojenja“.</w:t>
      </w:r>
    </w:p>
    <w:p w:rsidR="005E2EF0" w:rsidRPr="00117891" w:rsidRDefault="005E2EF0" w:rsidP="005E2E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  <w:r>
        <w:rPr>
          <w:rFonts w:eastAsia="Times New Roman" w:cs="Times New Roman"/>
          <w:b/>
          <w:color w:val="000000"/>
          <w:szCs w:val="24"/>
          <w:lang w:eastAsia="hr-HR"/>
        </w:rPr>
        <w:t>Članak 5.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CC1E8D">
        <w:rPr>
          <w:rFonts w:eastAsia="Times New Roman" w:cs="Times New Roman"/>
          <w:color w:val="000000"/>
          <w:szCs w:val="24"/>
          <w:lang w:eastAsia="hr-HR"/>
        </w:rPr>
        <w:lastRenderedPageBreak/>
        <w:t>U članku 11. s</w:t>
      </w:r>
      <w:r>
        <w:rPr>
          <w:rFonts w:eastAsia="Times New Roman" w:cs="Times New Roman"/>
          <w:color w:val="000000"/>
          <w:szCs w:val="24"/>
          <w:lang w:eastAsia="hr-HR"/>
        </w:rPr>
        <w:t>tavak</w:t>
      </w:r>
      <w:r w:rsidRPr="00CC1E8D">
        <w:rPr>
          <w:rFonts w:eastAsia="Times New Roman" w:cs="Times New Roman"/>
          <w:color w:val="000000"/>
          <w:szCs w:val="24"/>
          <w:lang w:eastAsia="hr-HR"/>
        </w:rPr>
        <w:t xml:space="preserve"> 2.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mijenja se i glasi:</w:t>
      </w:r>
    </w:p>
    <w:p w:rsidR="005E2EF0" w:rsidRPr="00160B33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Računalni program iz stavka 1. ovoga članka mora omogućavati proračun razina buke pomoću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računalnih metoda 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navedenih u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Pr="00400300">
        <w:rPr>
          <w:rFonts w:eastAsia="Times New Roman" w:cs="Times New Roman"/>
          <w:color w:val="000000"/>
          <w:szCs w:val="24"/>
          <w:lang w:eastAsia="hr-HR"/>
        </w:rPr>
        <w:t>Prilogu II. koji je otisnut uz ovaj Pravilnik i čini njegov sastavni dio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i 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mora biti izrađen u skladu sa zahtjevima </w:t>
      </w:r>
      <w:r w:rsidRPr="00160B33">
        <w:rPr>
          <w:rFonts w:eastAsia="Times New Roman" w:cs="Times New Roman"/>
          <w:color w:val="000000"/>
          <w:szCs w:val="24"/>
          <w:lang w:eastAsia="hr-HR"/>
        </w:rPr>
        <w:t>norme DIN 45687 „Akustika – Programska podrška za izračun širenja zvuka na otvorenom – Zahtjevi kvalitete i uvjeti ispitivanja“ i/ili norme ISO 17534 „Akustika - Programska podrška za izračun širenja zvuka na otvorenom.“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 w:rsidRPr="001C5B2C">
        <w:rPr>
          <w:rFonts w:eastAsia="Times New Roman" w:cs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 w:cs="Times New Roman"/>
          <w:b/>
          <w:color w:val="000000"/>
          <w:szCs w:val="24"/>
          <w:lang w:eastAsia="hr-HR"/>
        </w:rPr>
        <w:t>6.</w:t>
      </w:r>
    </w:p>
    <w:p w:rsidR="005E2EF0" w:rsidRPr="001C5B2C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U članku 12. stavku 3. iza riječi: „grafički prikazi indikatora buke“, briše se zarez i dodaju se nove riječi: „</w:t>
      </w:r>
      <w:proofErr w:type="spellStart"/>
      <w:r w:rsidRPr="00D30523">
        <w:rPr>
          <w:rFonts w:eastAsia="Times New Roman" w:cs="Times New Roman"/>
          <w:i/>
          <w:color w:val="000000"/>
          <w:szCs w:val="24"/>
          <w:lang w:eastAsia="hr-HR"/>
        </w:rPr>
        <w:t>L</w:t>
      </w:r>
      <w:r w:rsidRPr="00D30523">
        <w:rPr>
          <w:rFonts w:eastAsia="Times New Roman" w:cs="Times New Roman"/>
          <w:color w:val="000000"/>
          <w:szCs w:val="24"/>
          <w:vertAlign w:val="subscript"/>
          <w:lang w:eastAsia="hr-HR"/>
        </w:rPr>
        <w:t>night</w:t>
      </w:r>
      <w:proofErr w:type="spellEnd"/>
      <w:r w:rsidRPr="001C5B2C">
        <w:rPr>
          <w:rFonts w:eastAsia="Times New Roman" w:cs="Times New Roman"/>
          <w:i/>
          <w:color w:val="000000"/>
          <w:szCs w:val="24"/>
          <w:lang w:eastAsia="hr-HR"/>
        </w:rPr>
        <w:t xml:space="preserve"> </w:t>
      </w:r>
      <w:r w:rsidRPr="001C5B2C">
        <w:rPr>
          <w:rFonts w:eastAsia="Times New Roman" w:cs="Times New Roman"/>
          <w:color w:val="000000"/>
          <w:szCs w:val="24"/>
          <w:lang w:eastAsia="hr-HR"/>
        </w:rPr>
        <w:t>odnosno</w:t>
      </w:r>
      <w:r w:rsidRPr="001C5B2C">
        <w:rPr>
          <w:rFonts w:eastAsia="Times New Roman" w:cs="Times New Roman"/>
          <w:i/>
          <w:color w:val="000000"/>
          <w:szCs w:val="24"/>
          <w:lang w:eastAsia="hr-HR"/>
        </w:rPr>
        <w:t xml:space="preserve"> </w:t>
      </w:r>
      <w:proofErr w:type="spellStart"/>
      <w:r w:rsidRPr="001C5B2C">
        <w:rPr>
          <w:rFonts w:eastAsia="Times New Roman" w:cs="Times New Roman"/>
          <w:i/>
          <w:color w:val="000000"/>
          <w:szCs w:val="24"/>
          <w:lang w:eastAsia="hr-HR"/>
        </w:rPr>
        <w:t>L</w:t>
      </w:r>
      <w:r w:rsidRPr="001C5B2C">
        <w:rPr>
          <w:rFonts w:eastAsia="Times New Roman" w:cs="Times New Roman"/>
          <w:color w:val="000000"/>
          <w:szCs w:val="24"/>
          <w:vertAlign w:val="subscript"/>
          <w:lang w:eastAsia="hr-HR"/>
        </w:rPr>
        <w:t>den</w:t>
      </w:r>
      <w:proofErr w:type="spellEnd"/>
      <w:r w:rsidRPr="001C5B2C">
        <w:rPr>
          <w:rFonts w:eastAsia="Times New Roman" w:cs="Times New Roman"/>
          <w:color w:val="000000"/>
          <w:szCs w:val="24"/>
          <w:lang w:eastAsia="hr-HR"/>
        </w:rPr>
        <w:t>,“.</w:t>
      </w:r>
    </w:p>
    <w:p w:rsidR="005E2EF0" w:rsidRPr="001E60E7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  <w:r>
        <w:rPr>
          <w:rFonts w:eastAsia="Times New Roman" w:cs="Times New Roman"/>
          <w:color w:val="FF0000"/>
          <w:szCs w:val="24"/>
          <w:lang w:eastAsia="hr-HR"/>
        </w:rPr>
        <w:tab/>
      </w:r>
    </w:p>
    <w:p w:rsidR="005E2EF0" w:rsidRDefault="005E2EF0" w:rsidP="005E2EF0">
      <w:pPr>
        <w:spacing w:before="100" w:beforeAutospacing="1" w:after="100" w:afterAutospacing="1" w:line="240" w:lineRule="auto"/>
        <w:ind w:left="3540" w:firstLine="708"/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  <w:r w:rsidRPr="001E60E7">
        <w:rPr>
          <w:rFonts w:eastAsia="Times New Roman" w:cs="Times New Roman"/>
          <w:b/>
          <w:color w:val="000000"/>
          <w:szCs w:val="24"/>
          <w:lang w:eastAsia="hr-HR"/>
        </w:rPr>
        <w:t xml:space="preserve">Članak </w:t>
      </w:r>
      <w:r>
        <w:rPr>
          <w:rFonts w:eastAsia="Times New Roman" w:cs="Times New Roman"/>
          <w:b/>
          <w:color w:val="000000"/>
          <w:szCs w:val="24"/>
          <w:lang w:eastAsia="hr-HR"/>
        </w:rPr>
        <w:t>7.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  <w:r w:rsidRPr="001E60E7">
        <w:rPr>
          <w:rFonts w:eastAsia="Times New Roman" w:cs="Times New Roman"/>
          <w:color w:val="000000"/>
          <w:szCs w:val="24"/>
          <w:lang w:eastAsia="hr-HR"/>
        </w:rPr>
        <w:t xml:space="preserve">Članak </w:t>
      </w:r>
      <w:r>
        <w:rPr>
          <w:rFonts w:eastAsia="Times New Roman" w:cs="Times New Roman"/>
          <w:color w:val="000000"/>
          <w:szCs w:val="24"/>
          <w:lang w:eastAsia="hr-HR"/>
        </w:rPr>
        <w:t>13. stav</w:t>
      </w:r>
      <w:r w:rsidRPr="001E60E7">
        <w:rPr>
          <w:rFonts w:eastAsia="Times New Roman" w:cs="Times New Roman"/>
          <w:color w:val="000000"/>
          <w:szCs w:val="24"/>
          <w:lang w:eastAsia="hr-HR"/>
        </w:rPr>
        <w:t xml:space="preserve">ak 2. </w:t>
      </w:r>
      <w:r>
        <w:rPr>
          <w:rFonts w:eastAsia="Times New Roman" w:cs="Times New Roman"/>
          <w:color w:val="000000"/>
          <w:szCs w:val="24"/>
          <w:lang w:eastAsia="hr-HR"/>
        </w:rPr>
        <w:t>mijenja se i glasi:</w:t>
      </w:r>
    </w:p>
    <w:p w:rsidR="005E2EF0" w:rsidRPr="001E60E7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Pr="001E60E7">
        <w:rPr>
          <w:rFonts w:eastAsia="Times New Roman" w:cs="Times New Roman"/>
          <w:color w:val="000000"/>
          <w:szCs w:val="24"/>
          <w:lang w:eastAsia="hr-HR"/>
        </w:rPr>
        <w:t>Strateške karte buke prikazuju se javnosti na jedan ili više sljedećih načina u elektroničkom i/ili tiskanom obliku:</w:t>
      </w:r>
    </w:p>
    <w:p w:rsidR="005E2EF0" w:rsidRPr="001E60E7" w:rsidRDefault="005E2EF0" w:rsidP="005E2EF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1E60E7">
        <w:rPr>
          <w:rFonts w:eastAsia="Times New Roman" w:cs="Times New Roman"/>
          <w:color w:val="000000"/>
          <w:szCs w:val="24"/>
          <w:lang w:eastAsia="hr-HR"/>
        </w:rPr>
        <w:t>grafički prikaz u obliku mrežnih GIS preglednika,</w:t>
      </w:r>
    </w:p>
    <w:p w:rsidR="005E2EF0" w:rsidRPr="001E60E7" w:rsidRDefault="005E2EF0" w:rsidP="005E2EF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1E60E7">
        <w:rPr>
          <w:rFonts w:eastAsia="Times New Roman" w:cs="Times New Roman"/>
          <w:color w:val="000000"/>
          <w:szCs w:val="24"/>
          <w:lang w:eastAsia="hr-HR"/>
        </w:rPr>
        <w:t xml:space="preserve">brojčani podaci u tablicama, </w:t>
      </w:r>
    </w:p>
    <w:p w:rsidR="005E2EF0" w:rsidRPr="001E60E7" w:rsidRDefault="005E2EF0" w:rsidP="005E2EF0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brojčani podaci</w:t>
      </w:r>
      <w:r w:rsidRPr="001E60E7">
        <w:rPr>
          <w:rFonts w:eastAsia="Times New Roman" w:cs="Times New Roman"/>
          <w:color w:val="000000"/>
          <w:szCs w:val="24"/>
          <w:lang w:eastAsia="hr-HR"/>
        </w:rPr>
        <w:t xml:space="preserve"> u elektroničkom obliku.</w:t>
      </w:r>
      <w:r>
        <w:rPr>
          <w:rFonts w:eastAsia="Times New Roman" w:cs="Times New Roman"/>
          <w:color w:val="000000"/>
          <w:szCs w:val="24"/>
          <w:lang w:eastAsia="hr-HR"/>
        </w:rPr>
        <w:t>“</w:t>
      </w:r>
    </w:p>
    <w:p w:rsidR="005E2EF0" w:rsidRPr="00907BF7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</w:p>
    <w:p w:rsidR="005E2EF0" w:rsidRDefault="005E2EF0" w:rsidP="005E2EF0">
      <w:pPr>
        <w:spacing w:before="100" w:beforeAutospacing="1" w:after="100" w:afterAutospacing="1" w:line="240" w:lineRule="auto"/>
        <w:jc w:val="center"/>
        <w:rPr>
          <w:b/>
        </w:rPr>
      </w:pPr>
      <w:r w:rsidRPr="00665BD3">
        <w:rPr>
          <w:b/>
        </w:rPr>
        <w:t>Č</w:t>
      </w:r>
      <w:r>
        <w:rPr>
          <w:b/>
        </w:rPr>
        <w:t>lanak 8</w:t>
      </w:r>
      <w:r w:rsidRPr="00665BD3">
        <w:rPr>
          <w:b/>
        </w:rPr>
        <w:t>.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U č</w:t>
      </w:r>
      <w:r w:rsidRPr="00510CDD">
        <w:rPr>
          <w:rFonts w:eastAsia="Times New Roman" w:cs="Times New Roman"/>
          <w:color w:val="000000"/>
          <w:szCs w:val="24"/>
          <w:lang w:eastAsia="hr-HR"/>
        </w:rPr>
        <w:t>lank</w:t>
      </w:r>
      <w:r>
        <w:rPr>
          <w:rFonts w:eastAsia="Times New Roman" w:cs="Times New Roman"/>
          <w:color w:val="000000"/>
          <w:szCs w:val="24"/>
          <w:lang w:eastAsia="hr-HR"/>
        </w:rPr>
        <w:t>u</w:t>
      </w:r>
      <w:r w:rsidRPr="00510CDD">
        <w:rPr>
          <w:rFonts w:eastAsia="Times New Roman" w:cs="Times New Roman"/>
          <w:color w:val="000000"/>
          <w:szCs w:val="24"/>
          <w:lang w:eastAsia="hr-HR"/>
        </w:rPr>
        <w:t xml:space="preserve"> 14.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na kraju stavka 1. dodaje se rečenica koji glasi: </w:t>
      </w:r>
    </w:p>
    <w:p w:rsidR="005E2EF0" w:rsidRDefault="005E2EF0" w:rsidP="005E2E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„Za primjenu Priloga II. ovoga Pravilnika potrebno je koristiti posljednje izdanje dokumenta Europske Komisije „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Common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ED77A7">
        <w:rPr>
          <w:rFonts w:eastAsia="Times New Roman" w:cs="Times New Roman"/>
          <w:color w:val="000000"/>
          <w:szCs w:val="24"/>
          <w:lang w:eastAsia="hr-HR"/>
        </w:rPr>
        <w:t>Noise</w:t>
      </w:r>
      <w:proofErr w:type="spellEnd"/>
      <w:r w:rsidRPr="00ED77A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ED77A7">
        <w:rPr>
          <w:rFonts w:eastAsia="Times New Roman" w:cs="Times New Roman"/>
          <w:color w:val="000000"/>
          <w:szCs w:val="24"/>
          <w:lang w:eastAsia="hr-HR"/>
        </w:rPr>
        <w:t>Assessment</w:t>
      </w:r>
      <w:proofErr w:type="spellEnd"/>
      <w:r w:rsidRPr="00ED77A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Methods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Pr="00ED77A7">
        <w:rPr>
          <w:rFonts w:eastAsia="Times New Roman" w:cs="Times New Roman"/>
          <w:color w:val="000000"/>
          <w:szCs w:val="24"/>
          <w:lang w:eastAsia="hr-HR"/>
        </w:rPr>
        <w:t>in</w:t>
      </w:r>
      <w:proofErr w:type="spellEnd"/>
      <w:r w:rsidRPr="00ED77A7">
        <w:rPr>
          <w:rFonts w:eastAsia="Times New Roman" w:cs="Times New Roman"/>
          <w:color w:val="000000"/>
          <w:szCs w:val="24"/>
          <w:lang w:eastAsia="hr-HR"/>
        </w:rPr>
        <w:t xml:space="preserve"> Europe (CNOSSOS-EU)</w:t>
      </w:r>
      <w:r w:rsidRPr="00CB1E9A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(dostupno na </w:t>
      </w:r>
      <w:hyperlink r:id="rId5" w:history="1">
        <w:r w:rsidRPr="000D5075">
          <w:rPr>
            <w:rStyle w:val="Hiperveza"/>
            <w:szCs w:val="24"/>
            <w:lang w:eastAsia="hr-HR"/>
          </w:rPr>
          <w:t>https://ec.europa.eu/jrc/en/publication/reference-reports/common-noise-assessment-methods-europe-cnossos-eu</w:t>
        </w:r>
      </w:hyperlink>
      <w:r>
        <w:rPr>
          <w:rFonts w:eastAsia="Times New Roman" w:cs="Times New Roman"/>
          <w:color w:val="000000"/>
          <w:szCs w:val="24"/>
          <w:lang w:eastAsia="hr-HR"/>
        </w:rPr>
        <w:t>), kao i buduće dokumente Europske Komisije o primjeni metode CNOSSOS-EU.“</w:t>
      </w:r>
    </w:p>
    <w:p w:rsidR="005E2EF0" w:rsidRDefault="005E2EF0" w:rsidP="005E2EF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</w:p>
    <w:p w:rsidR="005E2EF0" w:rsidRDefault="005E2EF0" w:rsidP="005E2E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Stavak 3. mijenja se i glasi: </w:t>
      </w:r>
    </w:p>
    <w:p w:rsidR="005E2EF0" w:rsidRDefault="005E2EF0" w:rsidP="005E2EF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E2EF0" w:rsidRDefault="005E2EF0" w:rsidP="005C47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Pr="00395D6F">
        <w:rPr>
          <w:rFonts w:eastAsia="Times New Roman" w:cs="Times New Roman"/>
          <w:color w:val="000000"/>
          <w:szCs w:val="24"/>
          <w:lang w:eastAsia="hr-HR"/>
        </w:rPr>
        <w:t>Korištenje dokumenta iz stavka 1. ovoga članka mora biti dokumentirano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te se detaljne informacije o njihovom korištenju moraju dostaviti Ministarstvu</w:t>
      </w:r>
      <w:r w:rsidRPr="00CB1E9A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Cs w:val="24"/>
          <w:lang w:eastAsia="hr-HR"/>
        </w:rPr>
        <w:t>u okviru završnih elaborata strateške karte buke i/ili akcijskog plana upravljanja bukom.“</w:t>
      </w:r>
    </w:p>
    <w:p w:rsidR="005C47A2" w:rsidRPr="005C47A2" w:rsidRDefault="005C47A2" w:rsidP="005C47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E2EF0" w:rsidRDefault="005E2EF0" w:rsidP="005E2EF0">
      <w:pPr>
        <w:spacing w:before="100" w:beforeAutospacing="1" w:after="100" w:afterAutospacing="1" w:line="240" w:lineRule="auto"/>
        <w:jc w:val="center"/>
        <w:rPr>
          <w:b/>
        </w:rPr>
      </w:pPr>
      <w:r w:rsidRPr="00665BD3">
        <w:rPr>
          <w:b/>
        </w:rPr>
        <w:t>Č</w:t>
      </w:r>
      <w:r>
        <w:rPr>
          <w:b/>
        </w:rPr>
        <w:t>lanak 9</w:t>
      </w:r>
      <w:r w:rsidRPr="00665BD3">
        <w:rPr>
          <w:b/>
        </w:rPr>
        <w:t>.</w:t>
      </w:r>
    </w:p>
    <w:p w:rsidR="005E2EF0" w:rsidRPr="00874E77" w:rsidRDefault="005E2EF0" w:rsidP="005E2EF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874E77">
        <w:rPr>
          <w:rFonts w:eastAsia="Times New Roman" w:cs="Times New Roman"/>
          <w:color w:val="000000"/>
          <w:szCs w:val="24"/>
          <w:lang w:eastAsia="hr-HR"/>
        </w:rPr>
        <w:t>U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članku 17</w:t>
      </w:r>
      <w:r w:rsidRPr="00874E77">
        <w:rPr>
          <w:rFonts w:eastAsia="Times New Roman" w:cs="Times New Roman"/>
          <w:color w:val="000000"/>
          <w:szCs w:val="24"/>
          <w:lang w:eastAsia="hr-HR"/>
        </w:rPr>
        <w:t>.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stavku 1. riječ: „pružnoga“ mijenja se riječima: „željezničkog“.</w:t>
      </w:r>
      <w:r w:rsidRPr="00874E77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5E2EF0" w:rsidRDefault="005E2EF0" w:rsidP="005E2EF0">
      <w:pPr>
        <w:spacing w:before="100" w:beforeAutospacing="1" w:after="100" w:afterAutospacing="1" w:line="240" w:lineRule="auto"/>
        <w:jc w:val="center"/>
        <w:rPr>
          <w:b/>
        </w:rPr>
      </w:pPr>
      <w:r w:rsidRPr="00665BD3">
        <w:rPr>
          <w:b/>
        </w:rPr>
        <w:t>Č</w:t>
      </w:r>
      <w:r>
        <w:rPr>
          <w:b/>
        </w:rPr>
        <w:t>lanak 10</w:t>
      </w:r>
      <w:r w:rsidRPr="00665BD3">
        <w:rPr>
          <w:b/>
        </w:rPr>
        <w:t>.</w:t>
      </w:r>
    </w:p>
    <w:p w:rsidR="005E2EF0" w:rsidRDefault="005E2EF0" w:rsidP="005E2EF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874E77">
        <w:rPr>
          <w:rFonts w:eastAsia="Times New Roman" w:cs="Times New Roman"/>
          <w:color w:val="000000"/>
          <w:szCs w:val="24"/>
          <w:lang w:eastAsia="hr-HR"/>
        </w:rPr>
        <w:t>U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članku 18</w:t>
      </w:r>
      <w:r w:rsidRPr="00874E77">
        <w:rPr>
          <w:rFonts w:eastAsia="Times New Roman" w:cs="Times New Roman"/>
          <w:color w:val="000000"/>
          <w:szCs w:val="24"/>
          <w:lang w:eastAsia="hr-HR"/>
        </w:rPr>
        <w:t>.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stavku 1. riječ: „pružni“ mijenja se riječima: „željeznički“.</w:t>
      </w:r>
      <w:r w:rsidRPr="00874E77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:rsidR="005E2EF0" w:rsidRPr="00874E77" w:rsidRDefault="005E2EF0" w:rsidP="005E2EF0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hr-HR"/>
        </w:rPr>
      </w:pPr>
    </w:p>
    <w:p w:rsidR="005E2EF0" w:rsidRPr="00510CDD" w:rsidRDefault="005E2EF0" w:rsidP="005E2EF0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Članak 11</w:t>
      </w:r>
      <w:r w:rsidRPr="00510CDD">
        <w:rPr>
          <w:b/>
        </w:rPr>
        <w:t>.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</w:pPr>
      <w:r w:rsidRPr="00825E8F">
        <w:t xml:space="preserve">U </w:t>
      </w:r>
      <w:r>
        <w:t>članku 21. stavku 1. točka 3. mijenja se i glasi: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</w:pPr>
      <w:r>
        <w:t>“</w:t>
      </w:r>
      <w:r w:rsidRPr="00047E63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3. računalne </w:t>
      </w:r>
      <w:r w:rsidRPr="00395D6F">
        <w:rPr>
          <w:rFonts w:eastAsia="Times New Roman" w:cs="Times New Roman"/>
          <w:color w:val="000000"/>
          <w:szCs w:val="24"/>
          <w:lang w:eastAsia="hr-HR"/>
        </w:rPr>
        <w:t>metod</w:t>
      </w:r>
      <w:r>
        <w:rPr>
          <w:rFonts w:eastAsia="Times New Roman" w:cs="Times New Roman"/>
          <w:color w:val="000000"/>
          <w:szCs w:val="24"/>
          <w:lang w:eastAsia="hr-HR"/>
        </w:rPr>
        <w:t>e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 korišten</w:t>
      </w:r>
      <w:r>
        <w:rPr>
          <w:rFonts w:eastAsia="Times New Roman" w:cs="Times New Roman"/>
          <w:color w:val="000000"/>
          <w:szCs w:val="24"/>
          <w:lang w:eastAsia="hr-HR"/>
        </w:rPr>
        <w:t>e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 za izradu strateške karte buke</w:t>
      </w:r>
      <w:r>
        <w:rPr>
          <w:rFonts w:eastAsia="Times New Roman" w:cs="Times New Roman"/>
          <w:color w:val="000000"/>
          <w:szCs w:val="24"/>
          <w:lang w:eastAsia="hr-HR"/>
        </w:rPr>
        <w:t>,“</w:t>
      </w:r>
    </w:p>
    <w:p w:rsidR="005E2EF0" w:rsidRPr="00395D6F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t>U stavku 3. riječi: „</w:t>
      </w:r>
      <w:r w:rsidRPr="00395D6F">
        <w:rPr>
          <w:rFonts w:eastAsia="Times New Roman" w:cs="Times New Roman"/>
          <w:color w:val="000000"/>
          <w:szCs w:val="24"/>
          <w:lang w:eastAsia="hr-HR"/>
        </w:rPr>
        <w:t>cestovnoga, pružnoga i zračnoga prometa i od industrijskih izvora, uključujući p</w:t>
      </w:r>
      <w:r>
        <w:rPr>
          <w:rFonts w:eastAsia="Times New Roman" w:cs="Times New Roman"/>
          <w:color w:val="000000"/>
          <w:szCs w:val="24"/>
          <w:lang w:eastAsia="hr-HR"/>
        </w:rPr>
        <w:t>omorski i riječni promet i luke“ mijenjaju se riječima: „glavnih cesta, glavnih željezničkih pruga i glavnih zračnih luka“.</w:t>
      </w:r>
    </w:p>
    <w:p w:rsidR="005E2EF0" w:rsidRDefault="005E2EF0" w:rsidP="005E2EF0">
      <w:pPr>
        <w:spacing w:before="100" w:beforeAutospacing="1" w:after="100" w:afterAutospacing="1" w:line="240" w:lineRule="auto"/>
      </w:pPr>
      <w:r>
        <w:t>Stavak 6. mijenja se i glasi:</w:t>
      </w:r>
    </w:p>
    <w:p w:rsidR="005E2EF0" w:rsidRPr="00125586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125586">
        <w:rPr>
          <w:rFonts w:eastAsia="Times New Roman" w:cs="Times New Roman"/>
          <w:color w:val="000000"/>
          <w:szCs w:val="24"/>
          <w:lang w:eastAsia="hr-HR"/>
        </w:rPr>
        <w:t xml:space="preserve">„Grafički dio strateške karte buke naseljenoga područja sadrži najmanje grafički prikaz razreda indikatora buke </w:t>
      </w:r>
      <w:proofErr w:type="spellStart"/>
      <w:r w:rsidRPr="00125586">
        <w:rPr>
          <w:rFonts w:eastAsia="Times New Roman" w:cs="Times New Roman"/>
          <w:i/>
          <w:color w:val="000000"/>
          <w:szCs w:val="24"/>
          <w:lang w:eastAsia="hr-HR"/>
        </w:rPr>
        <w:t>L</w:t>
      </w:r>
      <w:r w:rsidRPr="00125586">
        <w:rPr>
          <w:rFonts w:eastAsia="Times New Roman" w:cs="Times New Roman"/>
          <w:color w:val="000000"/>
          <w:szCs w:val="24"/>
          <w:vertAlign w:val="subscript"/>
          <w:lang w:eastAsia="hr-HR"/>
        </w:rPr>
        <w:t>den</w:t>
      </w:r>
      <w:proofErr w:type="spellEnd"/>
      <w:r w:rsidRPr="00125586">
        <w:rPr>
          <w:rFonts w:eastAsia="Times New Roman" w:cs="Times New Roman"/>
          <w:color w:val="000000"/>
          <w:szCs w:val="24"/>
          <w:lang w:eastAsia="hr-HR"/>
        </w:rPr>
        <w:t xml:space="preserve"> 55 – 59, 60 – 64, 65 – 69, 70 – 74, &gt; 75 dB(A).</w:t>
      </w:r>
      <w:r>
        <w:rPr>
          <w:rFonts w:eastAsia="Times New Roman" w:cs="Times New Roman"/>
          <w:color w:val="000000"/>
          <w:szCs w:val="24"/>
          <w:lang w:eastAsia="hr-HR"/>
        </w:rPr>
        <w:t>“</w:t>
      </w:r>
    </w:p>
    <w:p w:rsidR="005E2EF0" w:rsidRPr="00825E8F" w:rsidRDefault="005E2EF0" w:rsidP="005E2EF0">
      <w:pPr>
        <w:spacing w:before="100" w:beforeAutospacing="1" w:after="100" w:afterAutospacing="1" w:line="240" w:lineRule="auto"/>
        <w:jc w:val="both"/>
      </w:pPr>
      <w:r>
        <w:t>Stavak 7. mijenja se i glasi:</w:t>
      </w:r>
    </w:p>
    <w:p w:rsidR="005E2EF0" w:rsidRPr="00F925AB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Pr="00125586">
        <w:rPr>
          <w:rFonts w:eastAsia="Times New Roman" w:cs="Times New Roman"/>
          <w:color w:val="000000"/>
          <w:szCs w:val="24"/>
          <w:lang w:eastAsia="hr-HR"/>
        </w:rPr>
        <w:t>Grafički dio strateške karte buke naseljenoga područja sadrži najmanje grafički prikaz razreda indikatora buke</w:t>
      </w:r>
      <w:r w:rsidRPr="00125586">
        <w:rPr>
          <w:rFonts w:eastAsia="Times New Roman" w:cs="Times New Roman"/>
          <w:i/>
          <w:color w:val="000000"/>
          <w:szCs w:val="24"/>
          <w:lang w:eastAsia="hr-HR"/>
        </w:rPr>
        <w:t xml:space="preserve"> </w:t>
      </w:r>
      <w:proofErr w:type="spellStart"/>
      <w:r w:rsidRPr="00125586">
        <w:rPr>
          <w:rFonts w:eastAsia="Times New Roman" w:cs="Times New Roman"/>
          <w:i/>
          <w:color w:val="000000"/>
          <w:szCs w:val="24"/>
          <w:lang w:eastAsia="hr-HR"/>
        </w:rPr>
        <w:t>L</w:t>
      </w:r>
      <w:r w:rsidRPr="00125586">
        <w:rPr>
          <w:rFonts w:eastAsia="Times New Roman" w:cs="Times New Roman"/>
          <w:color w:val="000000"/>
          <w:szCs w:val="24"/>
          <w:vertAlign w:val="subscript"/>
          <w:lang w:eastAsia="hr-HR"/>
        </w:rPr>
        <w:t>night</w:t>
      </w:r>
      <w:proofErr w:type="spellEnd"/>
      <w:r w:rsidRPr="00125586">
        <w:rPr>
          <w:rFonts w:eastAsia="Times New Roman" w:cs="Times New Roman"/>
          <w:color w:val="000000"/>
          <w:szCs w:val="24"/>
          <w:vertAlign w:val="subscript"/>
          <w:lang w:eastAsia="hr-HR"/>
        </w:rPr>
        <w:t xml:space="preserve"> </w:t>
      </w:r>
      <w:r w:rsidRPr="00125586">
        <w:rPr>
          <w:rFonts w:eastAsia="Times New Roman" w:cs="Times New Roman"/>
          <w:color w:val="000000"/>
          <w:szCs w:val="24"/>
          <w:lang w:eastAsia="hr-HR"/>
        </w:rPr>
        <w:t>50 – 54, 55 – 59, 60 – 64, 65 – 69, &gt; 70 dB(A).</w:t>
      </w:r>
      <w:r>
        <w:rPr>
          <w:rFonts w:eastAsia="Times New Roman" w:cs="Times New Roman"/>
          <w:color w:val="000000"/>
          <w:szCs w:val="24"/>
          <w:lang w:eastAsia="hr-HR"/>
        </w:rPr>
        <w:t>“</w:t>
      </w:r>
    </w:p>
    <w:p w:rsidR="005E2EF0" w:rsidRPr="00510CDD" w:rsidRDefault="005E2EF0" w:rsidP="005E2EF0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Članak 12</w:t>
      </w:r>
      <w:r w:rsidRPr="00510CDD">
        <w:rPr>
          <w:b/>
        </w:rPr>
        <w:t>.</w:t>
      </w:r>
    </w:p>
    <w:p w:rsidR="005E2EF0" w:rsidRPr="003122DE" w:rsidRDefault="005E2EF0" w:rsidP="005E2EF0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hr-HR"/>
        </w:rPr>
      </w:pPr>
      <w:r>
        <w:t xml:space="preserve">U članku 22. stavku 1. točka 3. iza riječi: „posljednjih“, riječ: „deset“ mijenja se i glasi: „pet“. </w:t>
      </w:r>
    </w:p>
    <w:p w:rsidR="005E2EF0" w:rsidRDefault="005E2EF0" w:rsidP="005E2EF0">
      <w:pPr>
        <w:spacing w:before="100" w:beforeAutospacing="1" w:after="100" w:afterAutospacing="1" w:line="240" w:lineRule="auto"/>
      </w:pPr>
      <w:r>
        <w:t>Točka 4. istog stavka mijenja se i glasi: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t>„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4.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računalnu </w:t>
      </w:r>
      <w:r w:rsidRPr="00395D6F">
        <w:rPr>
          <w:rFonts w:eastAsia="Times New Roman" w:cs="Times New Roman"/>
          <w:color w:val="000000"/>
          <w:szCs w:val="24"/>
          <w:lang w:eastAsia="hr-HR"/>
        </w:rPr>
        <w:t>metodu korištenu za izradu strateške karte buke</w:t>
      </w:r>
      <w:r>
        <w:rPr>
          <w:rFonts w:eastAsia="Times New Roman" w:cs="Times New Roman"/>
          <w:color w:val="000000"/>
          <w:szCs w:val="24"/>
          <w:lang w:eastAsia="hr-HR"/>
        </w:rPr>
        <w:t xml:space="preserve"> s opisom postavki proračuna za svaki promatrani izvor buke,“</w:t>
      </w:r>
    </w:p>
    <w:p w:rsidR="005E2EF0" w:rsidRPr="00970369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70369">
        <w:rPr>
          <w:rFonts w:eastAsia="Times New Roman" w:cs="Times New Roman"/>
          <w:szCs w:val="24"/>
          <w:lang w:eastAsia="hr-HR"/>
        </w:rPr>
        <w:t xml:space="preserve">U točki 7. iza brojke: „&gt; 75,“ riječi: „na najizloženijoj fasadi,“ mijenjaju se i glase: </w:t>
      </w:r>
    </w:p>
    <w:p w:rsidR="005E2EF0" w:rsidRPr="00970369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70369">
        <w:rPr>
          <w:rFonts w:eastAsia="Times New Roman" w:cs="Times New Roman"/>
          <w:szCs w:val="24"/>
          <w:lang w:eastAsia="hr-HR"/>
        </w:rPr>
        <w:t>„u skladu s metodom iz Priloga II</w:t>
      </w:r>
      <w:r>
        <w:rPr>
          <w:rFonts w:eastAsia="Times New Roman" w:cs="Times New Roman"/>
          <w:szCs w:val="24"/>
          <w:lang w:eastAsia="hr-HR"/>
        </w:rPr>
        <w:t>.</w:t>
      </w:r>
      <w:r w:rsidRPr="00970369">
        <w:rPr>
          <w:rFonts w:eastAsia="Times New Roman" w:cs="Times New Roman"/>
          <w:szCs w:val="24"/>
          <w:lang w:eastAsia="hr-HR"/>
        </w:rPr>
        <w:t xml:space="preserve"> ovoga Pravilnika,“</w:t>
      </w:r>
    </w:p>
    <w:p w:rsidR="005E2EF0" w:rsidRPr="00970369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70369">
        <w:rPr>
          <w:rFonts w:eastAsia="Times New Roman" w:cs="Times New Roman"/>
          <w:szCs w:val="24"/>
          <w:lang w:eastAsia="hr-HR"/>
        </w:rPr>
        <w:t>U točki 8. iza brojke: „&gt; 70,“ riječi: „na najizloženijoj fasadi,“ mijenjaju se i glase:</w:t>
      </w:r>
    </w:p>
    <w:p w:rsidR="005E2EF0" w:rsidRPr="00970369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70369">
        <w:rPr>
          <w:rFonts w:eastAsia="Times New Roman" w:cs="Times New Roman"/>
          <w:szCs w:val="24"/>
          <w:lang w:eastAsia="hr-HR"/>
        </w:rPr>
        <w:t>„u skladu s metodom iz Priloga II. ovoga Pravilnika,“.</w:t>
      </w:r>
    </w:p>
    <w:p w:rsidR="005E2EF0" w:rsidRPr="00395D6F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U točki 10. istog stavka iza riječi: „s ucrtanim položajem“ dodaje se nova riječ: „granica“.</w:t>
      </w:r>
    </w:p>
    <w:p w:rsidR="005E2EF0" w:rsidRPr="009A122D" w:rsidRDefault="005E2EF0" w:rsidP="005E2EF0">
      <w:pPr>
        <w:spacing w:before="100" w:beforeAutospacing="1" w:after="100" w:afterAutospacing="1" w:line="240" w:lineRule="auto"/>
      </w:pPr>
      <w:r w:rsidRPr="009A122D">
        <w:t>Stavak 5. mijenja se i glasi: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A122D">
        <w:rPr>
          <w:rFonts w:eastAsia="Times New Roman" w:cs="Times New Roman"/>
          <w:szCs w:val="24"/>
          <w:lang w:eastAsia="hr-HR"/>
        </w:rPr>
        <w:lastRenderedPageBreak/>
        <w:t xml:space="preserve">„Grafički dio strateške karte buke glavnih cesta, glavnih željezničkih pruga i glavnih zračnih luka sadrži najmanje grafički prikaz 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krivulja jednakih razina razreda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indikatora </w:t>
      </w:r>
      <w:r w:rsidRPr="00395D6F">
        <w:rPr>
          <w:rFonts w:eastAsia="Times New Roman" w:cs="Times New Roman"/>
          <w:color w:val="000000"/>
          <w:szCs w:val="24"/>
          <w:lang w:eastAsia="hr-HR"/>
        </w:rPr>
        <w:t xml:space="preserve">buke </w:t>
      </w:r>
      <w:proofErr w:type="spellStart"/>
      <w:r w:rsidRPr="009A122D">
        <w:rPr>
          <w:rFonts w:eastAsia="Times New Roman" w:cs="Times New Roman"/>
          <w:i/>
          <w:szCs w:val="24"/>
          <w:lang w:eastAsia="hr-HR"/>
        </w:rPr>
        <w:t>L</w:t>
      </w:r>
      <w:r w:rsidRPr="009A122D">
        <w:rPr>
          <w:rFonts w:eastAsia="Times New Roman" w:cs="Times New Roman"/>
          <w:szCs w:val="24"/>
          <w:vertAlign w:val="subscript"/>
          <w:lang w:eastAsia="hr-HR"/>
        </w:rPr>
        <w:t>den</w:t>
      </w:r>
      <w:proofErr w:type="spellEnd"/>
      <w:r w:rsidRPr="009A122D">
        <w:rPr>
          <w:rFonts w:eastAsia="Times New Roman" w:cs="Times New Roman"/>
          <w:szCs w:val="24"/>
          <w:lang w:eastAsia="hr-HR"/>
        </w:rPr>
        <w:t xml:space="preserve"> 55 – 59, 60 – 64,</w:t>
      </w:r>
      <w:r>
        <w:rPr>
          <w:rFonts w:eastAsia="Times New Roman" w:cs="Times New Roman"/>
          <w:szCs w:val="24"/>
          <w:lang w:eastAsia="hr-HR"/>
        </w:rPr>
        <w:t xml:space="preserve"> 65 – 69, 70 – 74, &gt; 75 dB(A).“</w:t>
      </w:r>
    </w:p>
    <w:p w:rsidR="005E2EF0" w:rsidRPr="009A122D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A122D">
        <w:rPr>
          <w:rFonts w:eastAsia="Times New Roman" w:cs="Times New Roman"/>
          <w:szCs w:val="24"/>
          <w:lang w:eastAsia="hr-HR"/>
        </w:rPr>
        <w:t>Iza stavka 5. dodaje se novi stavak 6. koji glasi:</w:t>
      </w:r>
    </w:p>
    <w:p w:rsidR="005E2EF0" w:rsidRPr="009A122D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A122D">
        <w:rPr>
          <w:rFonts w:eastAsia="Times New Roman" w:cs="Times New Roman"/>
          <w:szCs w:val="24"/>
          <w:lang w:eastAsia="hr-HR"/>
        </w:rPr>
        <w:t>„Grafički dio strateške karte buke glavnih cesta, glavnih željezničkih pruga i glavnih zračnih</w:t>
      </w:r>
      <w:r w:rsidRPr="009A122D">
        <w:rPr>
          <w:rFonts w:eastAsia="Times New Roman" w:cs="Times New Roman"/>
          <w:color w:val="000000"/>
          <w:szCs w:val="24"/>
          <w:lang w:eastAsia="hr-HR"/>
        </w:rPr>
        <w:t xml:space="preserve"> luka sadrži najmanje grafički prikaz krivulja jednakih razina razreda indikatora buke </w:t>
      </w:r>
      <w:proofErr w:type="spellStart"/>
      <w:r w:rsidRPr="00125586">
        <w:rPr>
          <w:rFonts w:eastAsia="Times New Roman" w:cs="Times New Roman"/>
          <w:i/>
          <w:color w:val="000000"/>
          <w:szCs w:val="24"/>
          <w:lang w:eastAsia="hr-HR"/>
        </w:rPr>
        <w:t>L</w:t>
      </w:r>
      <w:r w:rsidRPr="00125586">
        <w:rPr>
          <w:rFonts w:eastAsia="Times New Roman" w:cs="Times New Roman"/>
          <w:color w:val="000000"/>
          <w:szCs w:val="24"/>
          <w:vertAlign w:val="subscript"/>
          <w:lang w:eastAsia="hr-HR"/>
        </w:rPr>
        <w:t>night</w:t>
      </w:r>
      <w:proofErr w:type="spellEnd"/>
      <w:r w:rsidRPr="00125586">
        <w:rPr>
          <w:rFonts w:eastAsia="Times New Roman" w:cs="Times New Roman"/>
          <w:color w:val="000000"/>
          <w:szCs w:val="24"/>
          <w:vertAlign w:val="subscript"/>
          <w:lang w:eastAsia="hr-HR"/>
        </w:rPr>
        <w:t xml:space="preserve"> </w:t>
      </w:r>
      <w:r w:rsidRPr="009A122D">
        <w:rPr>
          <w:rFonts w:eastAsia="Times New Roman" w:cs="Times New Roman"/>
          <w:szCs w:val="24"/>
          <w:lang w:eastAsia="hr-HR"/>
        </w:rPr>
        <w:t>50 – 54, 55 – 59, 60 – 64, 65 – 69, &gt; 70 dB(A).“</w:t>
      </w:r>
    </w:p>
    <w:p w:rsidR="005E2EF0" w:rsidRPr="00D919DE" w:rsidRDefault="005E2EF0" w:rsidP="005E2EF0">
      <w:pPr>
        <w:spacing w:before="100" w:beforeAutospacing="1" w:after="100" w:afterAutospacing="1" w:line="240" w:lineRule="auto"/>
      </w:pPr>
    </w:p>
    <w:p w:rsidR="005E2EF0" w:rsidRPr="00510CDD" w:rsidRDefault="005E2EF0" w:rsidP="005E2EF0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>Članak 13</w:t>
      </w:r>
      <w:r w:rsidRPr="00510CDD">
        <w:rPr>
          <w:b/>
        </w:rPr>
        <w:t>.</w:t>
      </w:r>
    </w:p>
    <w:p w:rsidR="005E2EF0" w:rsidRPr="00060DB8" w:rsidRDefault="005E2EF0" w:rsidP="005E2EF0">
      <w:pPr>
        <w:spacing w:before="100" w:beforeAutospacing="1" w:after="100" w:afterAutospacing="1" w:line="240" w:lineRule="auto"/>
      </w:pPr>
      <w:r w:rsidRPr="00060DB8">
        <w:t>U članku 28. iza stavka 1. dodaje se novi stavak 2. koji glasi:</w:t>
      </w:r>
    </w:p>
    <w:p w:rsidR="005E2EF0" w:rsidRPr="00820889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060DB8">
        <w:t>„</w:t>
      </w:r>
      <w:r w:rsidRPr="00060DB8">
        <w:rPr>
          <w:rFonts w:eastAsia="Times New Roman" w:cs="Times New Roman"/>
          <w:szCs w:val="24"/>
          <w:lang w:eastAsia="hr-HR"/>
        </w:rPr>
        <w:t>Obveznici izrade strateških karata buke i akcijskih planova</w:t>
      </w:r>
      <w:r w:rsidRPr="005A38FF">
        <w:rPr>
          <w:rFonts w:eastAsia="Times New Roman" w:cs="Times New Roman"/>
          <w:szCs w:val="24"/>
          <w:lang w:eastAsia="hr-HR"/>
        </w:rPr>
        <w:t xml:space="preserve"> dostavljaju ministarstvu </w:t>
      </w:r>
      <w:r>
        <w:rPr>
          <w:rFonts w:eastAsia="Times New Roman" w:cs="Times New Roman"/>
          <w:szCs w:val="24"/>
          <w:lang w:eastAsia="hr-HR"/>
        </w:rPr>
        <w:t xml:space="preserve">rezultate proračuna </w:t>
      </w:r>
      <w:r w:rsidRPr="005A38FF">
        <w:rPr>
          <w:rFonts w:eastAsia="Times New Roman" w:cs="Times New Roman"/>
          <w:szCs w:val="24"/>
          <w:lang w:eastAsia="hr-HR"/>
        </w:rPr>
        <w:t>strateške karte buke</w:t>
      </w:r>
      <w:r>
        <w:rPr>
          <w:rFonts w:eastAsia="Times New Roman" w:cs="Times New Roman"/>
          <w:szCs w:val="24"/>
          <w:lang w:eastAsia="hr-HR"/>
        </w:rPr>
        <w:t xml:space="preserve"> za</w:t>
      </w:r>
      <w:r w:rsidRPr="005A38FF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indikatore </w:t>
      </w:r>
      <w:proofErr w:type="spellStart"/>
      <w:r w:rsidRPr="009B2F1E">
        <w:rPr>
          <w:rFonts w:eastAsia="Times New Roman" w:cs="Times New Roman"/>
          <w:i/>
          <w:szCs w:val="24"/>
          <w:lang w:eastAsia="hr-HR"/>
        </w:rPr>
        <w:t>L</w:t>
      </w:r>
      <w:r w:rsidRPr="009B2F1E">
        <w:rPr>
          <w:rFonts w:eastAsia="Times New Roman" w:cs="Times New Roman"/>
          <w:szCs w:val="24"/>
          <w:vertAlign w:val="subscript"/>
          <w:lang w:eastAsia="hr-HR"/>
        </w:rPr>
        <w:t>den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i </w:t>
      </w:r>
      <w:proofErr w:type="spellStart"/>
      <w:r w:rsidRPr="009B2F1E">
        <w:rPr>
          <w:rFonts w:eastAsia="Times New Roman" w:cs="Times New Roman"/>
          <w:i/>
          <w:szCs w:val="24"/>
          <w:lang w:eastAsia="hr-HR"/>
        </w:rPr>
        <w:t>L</w:t>
      </w:r>
      <w:r w:rsidRPr="009B2F1E">
        <w:rPr>
          <w:rFonts w:eastAsia="Times New Roman" w:cs="Times New Roman"/>
          <w:szCs w:val="24"/>
          <w:vertAlign w:val="subscript"/>
          <w:lang w:eastAsia="hr-HR"/>
        </w:rPr>
        <w:t>night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minimalno </w:t>
      </w:r>
      <w:r w:rsidRPr="005A38FF">
        <w:rPr>
          <w:rFonts w:eastAsia="Times New Roman" w:cs="Times New Roman"/>
          <w:szCs w:val="24"/>
          <w:lang w:eastAsia="hr-HR"/>
        </w:rPr>
        <w:t xml:space="preserve">u </w:t>
      </w:r>
      <w:r>
        <w:rPr>
          <w:rFonts w:eastAsia="Times New Roman" w:cs="Times New Roman"/>
          <w:szCs w:val="24"/>
          <w:lang w:eastAsia="hr-HR"/>
        </w:rPr>
        <w:t xml:space="preserve">izvornom ASCII rasterskom formatu u obliku jedinstvenog </w:t>
      </w:r>
      <w:proofErr w:type="spellStart"/>
      <w:r>
        <w:rPr>
          <w:rFonts w:eastAsia="Times New Roman" w:cs="Times New Roman"/>
          <w:szCs w:val="24"/>
          <w:lang w:eastAsia="hr-HR"/>
        </w:rPr>
        <w:t>georeferenciranog</w:t>
      </w:r>
      <w:proofErr w:type="spellEnd"/>
      <w:r>
        <w:rPr>
          <w:rFonts w:eastAsia="Times New Roman" w:cs="Times New Roman"/>
          <w:szCs w:val="24"/>
          <w:lang w:eastAsia="hr-HR"/>
        </w:rPr>
        <w:t xml:space="preserve"> sloja za svaki indikator buke.“</w:t>
      </w:r>
    </w:p>
    <w:p w:rsidR="005E2EF0" w:rsidRDefault="005E2EF0" w:rsidP="005E2EF0">
      <w:pPr>
        <w:pStyle w:val="Tijeloteksta"/>
        <w:jc w:val="center"/>
        <w:rPr>
          <w:rFonts w:ascii="Times New Roman" w:eastAsiaTheme="minorHAnsi" w:hAnsi="Times New Roman" w:cstheme="minorBidi"/>
          <w:szCs w:val="22"/>
          <w:lang w:val="hr-HR"/>
        </w:rPr>
      </w:pPr>
    </w:p>
    <w:p w:rsidR="005E2EF0" w:rsidRPr="00060DB8" w:rsidRDefault="005E2EF0" w:rsidP="005E2EF0">
      <w:pPr>
        <w:pStyle w:val="Tijeloteksta"/>
        <w:jc w:val="center"/>
        <w:rPr>
          <w:rFonts w:ascii="Times New Roman" w:eastAsiaTheme="minorHAnsi" w:hAnsi="Times New Roman" w:cstheme="minorBidi"/>
          <w:szCs w:val="22"/>
          <w:lang w:val="hr-HR"/>
        </w:rPr>
      </w:pPr>
      <w:r>
        <w:rPr>
          <w:rFonts w:ascii="Times New Roman" w:eastAsiaTheme="minorHAnsi" w:hAnsi="Times New Roman" w:cstheme="minorBidi"/>
          <w:szCs w:val="22"/>
          <w:lang w:val="hr-HR"/>
        </w:rPr>
        <w:t>PRIJELAZNE I ZAVRŠNE ODREDBE</w:t>
      </w:r>
    </w:p>
    <w:p w:rsidR="005E2EF0" w:rsidRPr="00665BD3" w:rsidRDefault="005E2EF0" w:rsidP="005E2EF0">
      <w:pPr>
        <w:spacing w:before="100" w:beforeAutospacing="1" w:after="100" w:afterAutospacing="1" w:line="240" w:lineRule="auto"/>
        <w:jc w:val="center"/>
        <w:rPr>
          <w:b/>
        </w:rPr>
      </w:pPr>
      <w:r w:rsidRPr="00510CDD">
        <w:rPr>
          <w:b/>
        </w:rPr>
        <w:t>Č</w:t>
      </w:r>
      <w:r>
        <w:rPr>
          <w:b/>
        </w:rPr>
        <w:t>lanak 14</w:t>
      </w:r>
      <w:r w:rsidRPr="00510CDD">
        <w:rPr>
          <w:b/>
        </w:rPr>
        <w:t>.</w:t>
      </w:r>
    </w:p>
    <w:p w:rsidR="005E2EF0" w:rsidRDefault="005E2EF0" w:rsidP="005E2EF0">
      <w:pPr>
        <w:pStyle w:val="Tijeloteksta"/>
        <w:rPr>
          <w:rFonts w:ascii="Times New Roman" w:eastAsiaTheme="minorHAnsi" w:hAnsi="Times New Roman" w:cstheme="minorBidi"/>
          <w:szCs w:val="22"/>
          <w:lang w:val="hr-HR"/>
        </w:rPr>
      </w:pPr>
      <w:r w:rsidRPr="00825FD2">
        <w:rPr>
          <w:rFonts w:ascii="Times New Roman" w:eastAsiaTheme="minorHAnsi" w:hAnsi="Times New Roman" w:cstheme="minorBidi"/>
          <w:szCs w:val="22"/>
          <w:lang w:val="hr-HR"/>
        </w:rPr>
        <w:t>Strateške karte buke mogu biti izrađene i odobrene prema Prilogu II. Pravilnika o načinu izrade i sadržaju karata buke i akcijskih planova te o načinu izračuna dopuštenih indikatora buke („Narodne novine“ broj 75/09</w:t>
      </w:r>
      <w:r>
        <w:rPr>
          <w:rFonts w:ascii="Times New Roman" w:eastAsiaTheme="minorHAnsi" w:hAnsi="Times New Roman" w:cstheme="minorBidi"/>
          <w:szCs w:val="22"/>
          <w:lang w:val="hr-HR"/>
        </w:rPr>
        <w:t xml:space="preserve"> i</w:t>
      </w:r>
      <w:r w:rsidRPr="00825FD2">
        <w:rPr>
          <w:rFonts w:ascii="Times New Roman" w:eastAsiaTheme="minorHAnsi" w:hAnsi="Times New Roman" w:cstheme="minorBidi"/>
          <w:szCs w:val="22"/>
          <w:lang w:val="hr-HR"/>
        </w:rPr>
        <w:t xml:space="preserve"> 60/16) najkasnije do 30. prosinca 2018.</w:t>
      </w:r>
      <w:r>
        <w:rPr>
          <w:rFonts w:ascii="Times New Roman" w:eastAsiaTheme="minorHAnsi" w:hAnsi="Times New Roman" w:cstheme="minorBidi"/>
          <w:szCs w:val="22"/>
          <w:lang w:val="hr-HR"/>
        </w:rPr>
        <w:t xml:space="preserve"> godine.</w:t>
      </w:r>
    </w:p>
    <w:p w:rsidR="005E2EF0" w:rsidRPr="00825FD2" w:rsidRDefault="005E2EF0" w:rsidP="005E2EF0">
      <w:pPr>
        <w:pStyle w:val="Tijeloteksta"/>
        <w:rPr>
          <w:rFonts w:ascii="Times New Roman" w:eastAsiaTheme="minorHAnsi" w:hAnsi="Times New Roman" w:cstheme="minorBidi"/>
          <w:szCs w:val="22"/>
          <w:lang w:val="hr-HR"/>
        </w:rPr>
      </w:pPr>
    </w:p>
    <w:p w:rsidR="005E2EF0" w:rsidRDefault="005E2EF0" w:rsidP="005E2EF0">
      <w:pPr>
        <w:spacing w:after="0" w:line="240" w:lineRule="auto"/>
        <w:jc w:val="both"/>
      </w:pPr>
      <w:r w:rsidRPr="004B54E7">
        <w:t>Akcijski planovi koji se temelje na strateškim kartama buke za ocjensku 2016. godinu</w:t>
      </w:r>
      <w:r>
        <w:t>,</w:t>
      </w:r>
      <w:r w:rsidRPr="004B54E7">
        <w:t xml:space="preserve"> koji nisu dostavljeni ministarstvu do 30. prosinca 2018.</w:t>
      </w:r>
      <w:r>
        <w:t xml:space="preserve"> godinu,</w:t>
      </w:r>
      <w:r w:rsidRPr="004B54E7">
        <w:t xml:space="preserve"> izrađuju se u skladu s odredbama Pravilnika o načinu izrade i sadržaju karata buke i akcijskih planova te o načinu izračuna dopuštenih indikatora buke </w:t>
      </w:r>
      <w:r w:rsidRPr="00825FD2">
        <w:t>(„Narodne novine“ broj 75/09</w:t>
      </w:r>
      <w:r>
        <w:t xml:space="preserve"> i</w:t>
      </w:r>
      <w:r w:rsidRPr="00825FD2">
        <w:t xml:space="preserve"> 60/16)</w:t>
      </w:r>
      <w:r>
        <w:t>.</w:t>
      </w:r>
    </w:p>
    <w:p w:rsidR="005E2EF0" w:rsidRPr="004B54E7" w:rsidRDefault="005E2EF0" w:rsidP="005E2EF0">
      <w:pPr>
        <w:spacing w:after="0" w:line="240" w:lineRule="auto"/>
        <w:jc w:val="both"/>
      </w:pPr>
    </w:p>
    <w:p w:rsidR="005E2EF0" w:rsidRPr="00262468" w:rsidRDefault="005E2EF0" w:rsidP="005E2EF0">
      <w:pPr>
        <w:pStyle w:val="Tijeloteksta"/>
        <w:rPr>
          <w:rFonts w:ascii="Times New Roman" w:eastAsiaTheme="minorHAnsi" w:hAnsi="Times New Roman" w:cstheme="minorBidi"/>
          <w:szCs w:val="22"/>
          <w:lang w:val="hr-HR"/>
        </w:rPr>
      </w:pPr>
      <w:r w:rsidRPr="00262468">
        <w:rPr>
          <w:rFonts w:ascii="Times New Roman" w:eastAsiaTheme="minorHAnsi" w:hAnsi="Times New Roman"/>
          <w:szCs w:val="24"/>
          <w:lang w:val="hr-HR"/>
        </w:rPr>
        <w:t>Strateške</w:t>
      </w:r>
      <w:r w:rsidRPr="00262468">
        <w:rPr>
          <w:rFonts w:ascii="Times New Roman" w:eastAsiaTheme="minorHAnsi" w:hAnsi="Times New Roman" w:cstheme="minorBidi"/>
          <w:szCs w:val="22"/>
          <w:lang w:val="hr-HR"/>
        </w:rPr>
        <w:t xml:space="preserve"> karte buke i akcijski planovi koji su započeti prema Prilogu II. Pravilnika o načinu izrade i sadržaju karata buke i akcijskih planova te o načinu izračuna dopuštenih indikatora buke („Narodne novine“ broj 75/09 i 60/16), a nisu izrađeni i odobreni</w:t>
      </w:r>
      <w:r>
        <w:rPr>
          <w:rFonts w:ascii="Times New Roman" w:eastAsiaTheme="minorHAnsi" w:hAnsi="Times New Roman" w:cstheme="minorBidi"/>
          <w:szCs w:val="22"/>
          <w:lang w:val="hr-HR"/>
        </w:rPr>
        <w:t xml:space="preserve"> do 30</w:t>
      </w:r>
      <w:r w:rsidRPr="00262468">
        <w:rPr>
          <w:rFonts w:ascii="Times New Roman" w:eastAsiaTheme="minorHAnsi" w:hAnsi="Times New Roman" w:cstheme="minorBidi"/>
          <w:szCs w:val="22"/>
          <w:lang w:val="hr-HR"/>
        </w:rPr>
        <w:t>. prosinca 2018.</w:t>
      </w:r>
      <w:r>
        <w:rPr>
          <w:rFonts w:ascii="Times New Roman" w:eastAsiaTheme="minorHAnsi" w:hAnsi="Times New Roman" w:cstheme="minorBidi"/>
          <w:szCs w:val="22"/>
          <w:lang w:val="hr-HR"/>
        </w:rPr>
        <w:t xml:space="preserve"> godine</w:t>
      </w:r>
      <w:r w:rsidRPr="00262468">
        <w:rPr>
          <w:rFonts w:ascii="Times New Roman" w:eastAsiaTheme="minorHAnsi" w:hAnsi="Times New Roman" w:cstheme="minorBidi"/>
          <w:szCs w:val="22"/>
          <w:lang w:val="hr-HR"/>
        </w:rPr>
        <w:t>, moraju se izraditi sukladno Prilogu II. ovoga Pravilnika.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FF0000"/>
          <w:szCs w:val="24"/>
          <w:lang w:eastAsia="hr-HR"/>
        </w:rPr>
      </w:pPr>
      <w:r>
        <w:rPr>
          <w:rFonts w:cs="Times New Roman"/>
          <w:szCs w:val="24"/>
        </w:rPr>
        <w:t>S</w:t>
      </w:r>
      <w:r w:rsidRPr="005A38FF">
        <w:rPr>
          <w:rFonts w:cs="Times New Roman"/>
          <w:szCs w:val="24"/>
        </w:rPr>
        <w:t>tratešk</w:t>
      </w:r>
      <w:r>
        <w:rPr>
          <w:rFonts w:cs="Times New Roman"/>
          <w:szCs w:val="24"/>
        </w:rPr>
        <w:t>e</w:t>
      </w:r>
      <w:r w:rsidRPr="005A38FF">
        <w:rPr>
          <w:rFonts w:cs="Times New Roman"/>
          <w:szCs w:val="24"/>
        </w:rPr>
        <w:t xml:space="preserve"> kart</w:t>
      </w:r>
      <w:r>
        <w:rPr>
          <w:rFonts w:cs="Times New Roman"/>
          <w:szCs w:val="24"/>
        </w:rPr>
        <w:t>e</w:t>
      </w:r>
      <w:r w:rsidRPr="005A38FF">
        <w:rPr>
          <w:rFonts w:cs="Times New Roman"/>
          <w:szCs w:val="24"/>
        </w:rPr>
        <w:t xml:space="preserve"> buke za ocjensku 2016. godinu </w:t>
      </w:r>
      <w:r>
        <w:rPr>
          <w:rFonts w:cs="Times New Roman"/>
          <w:szCs w:val="24"/>
        </w:rPr>
        <w:t>koje su dostavljene ministarstvu, a</w:t>
      </w:r>
      <w:r w:rsidRPr="005A38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rezultati</w:t>
      </w:r>
      <w:r w:rsidRPr="005A38FF">
        <w:rPr>
          <w:rFonts w:cs="Times New Roman"/>
          <w:szCs w:val="24"/>
        </w:rPr>
        <w:t xml:space="preserve"> proračuna za indikatore </w:t>
      </w:r>
      <w:proofErr w:type="spellStart"/>
      <w:r w:rsidRPr="009A122D">
        <w:rPr>
          <w:rFonts w:eastAsia="Times New Roman" w:cs="Times New Roman"/>
          <w:i/>
          <w:szCs w:val="24"/>
          <w:lang w:eastAsia="hr-HR"/>
        </w:rPr>
        <w:t>L</w:t>
      </w:r>
      <w:r w:rsidRPr="009A122D">
        <w:rPr>
          <w:rFonts w:eastAsia="Times New Roman" w:cs="Times New Roman"/>
          <w:szCs w:val="24"/>
          <w:vertAlign w:val="subscript"/>
          <w:lang w:eastAsia="hr-HR"/>
        </w:rPr>
        <w:t>den</w:t>
      </w:r>
      <w:proofErr w:type="spellEnd"/>
      <w:r w:rsidRPr="005A38FF">
        <w:rPr>
          <w:rFonts w:cs="Times New Roman"/>
          <w:szCs w:val="24"/>
        </w:rPr>
        <w:t xml:space="preserve"> i </w:t>
      </w:r>
      <w:proofErr w:type="spellStart"/>
      <w:r w:rsidRPr="00262468">
        <w:rPr>
          <w:rFonts w:cs="Times New Roman"/>
          <w:i/>
          <w:szCs w:val="24"/>
        </w:rPr>
        <w:t>L</w:t>
      </w:r>
      <w:r w:rsidRPr="00262468">
        <w:rPr>
          <w:rFonts w:cs="Times New Roman"/>
          <w:szCs w:val="24"/>
          <w:vertAlign w:val="subscript"/>
        </w:rPr>
        <w:t>night</w:t>
      </w:r>
      <w:proofErr w:type="spellEnd"/>
      <w:r w:rsidRPr="005A38F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nisu dostavljeni </w:t>
      </w:r>
      <w:r w:rsidRPr="005A38FF">
        <w:rPr>
          <w:rFonts w:cs="Times New Roman"/>
          <w:szCs w:val="24"/>
        </w:rPr>
        <w:t xml:space="preserve">u izvornom ASCII rasterskom formatu u obliku jedinstvenog </w:t>
      </w:r>
      <w:proofErr w:type="spellStart"/>
      <w:r w:rsidRPr="005A38FF">
        <w:rPr>
          <w:rFonts w:cs="Times New Roman"/>
          <w:szCs w:val="24"/>
        </w:rPr>
        <w:t>georeferenciranog</w:t>
      </w:r>
      <w:proofErr w:type="spellEnd"/>
      <w:r w:rsidRPr="005A38FF">
        <w:rPr>
          <w:rFonts w:cs="Times New Roman"/>
          <w:szCs w:val="24"/>
        </w:rPr>
        <w:t xml:space="preserve"> sloja za svaki indikator buke</w:t>
      </w:r>
      <w:r>
        <w:rPr>
          <w:rFonts w:cs="Times New Roman"/>
          <w:szCs w:val="24"/>
        </w:rPr>
        <w:t>, moraju se dostaviti najkasnije do 31. ožujka 2019. godine.</w:t>
      </w:r>
    </w:p>
    <w:p w:rsidR="005E2EF0" w:rsidRPr="005A0AD7" w:rsidRDefault="005E2EF0" w:rsidP="005E2EF0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5A0AD7">
        <w:rPr>
          <w:rFonts w:cs="Times New Roman"/>
          <w:szCs w:val="24"/>
        </w:rPr>
        <w:t xml:space="preserve">Obveznici izrade strateške </w:t>
      </w:r>
      <w:r>
        <w:rPr>
          <w:rFonts w:cs="Times New Roman"/>
          <w:szCs w:val="24"/>
        </w:rPr>
        <w:t>karte buke, uz podatke navedenim</w:t>
      </w:r>
      <w:r w:rsidRPr="005A0AD7">
        <w:rPr>
          <w:rFonts w:cs="Times New Roman"/>
          <w:szCs w:val="24"/>
        </w:rPr>
        <w:t xml:space="preserve"> u člancima 21., 22. i 31. ovoga Pravilnika, obvezni su dostaviti i izjavu o usklađenosti izrade strateške karte buke </w:t>
      </w:r>
      <w:r>
        <w:rPr>
          <w:rFonts w:cs="Times New Roman"/>
          <w:szCs w:val="24"/>
        </w:rPr>
        <w:t xml:space="preserve">i akcijskog plana </w:t>
      </w:r>
      <w:r w:rsidRPr="005A0AD7">
        <w:rPr>
          <w:rFonts w:cs="Times New Roman"/>
          <w:szCs w:val="24"/>
        </w:rPr>
        <w:t>u skladu s člankom 1</w:t>
      </w:r>
      <w:r>
        <w:rPr>
          <w:rFonts w:cs="Times New Roman"/>
          <w:szCs w:val="24"/>
        </w:rPr>
        <w:t>.</w:t>
      </w:r>
      <w:r w:rsidRPr="005A0AD7">
        <w:rPr>
          <w:rFonts w:cs="Times New Roman"/>
          <w:szCs w:val="24"/>
        </w:rPr>
        <w:t>a. ovoga Pravilnika.</w:t>
      </w:r>
    </w:p>
    <w:p w:rsidR="005E2EF0" w:rsidRDefault="005E2EF0" w:rsidP="005E2E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hr-HR"/>
        </w:rPr>
      </w:pPr>
      <w:r>
        <w:rPr>
          <w:b/>
        </w:rPr>
        <w:t>Članak 15</w:t>
      </w:r>
      <w:r w:rsidRPr="00400300">
        <w:rPr>
          <w:b/>
        </w:rPr>
        <w:t>.</w:t>
      </w:r>
    </w:p>
    <w:p w:rsidR="005E2EF0" w:rsidRDefault="005E2EF0" w:rsidP="005E2EF0">
      <w:pPr>
        <w:spacing w:before="100" w:beforeAutospacing="1" w:after="100" w:afterAutospacing="1" w:line="240" w:lineRule="auto"/>
        <w:jc w:val="both"/>
      </w:pPr>
      <w:r w:rsidRPr="00672AEE">
        <w:lastRenderedPageBreak/>
        <w:t xml:space="preserve">Ovaj Pravilnik objavit će se u „Narodnim novinama“, a stupa na snagu 31. prosinca 2018. </w:t>
      </w:r>
      <w:r>
        <w:t>godine.</w:t>
      </w:r>
    </w:p>
    <w:p w:rsidR="000A20DB" w:rsidRDefault="000A20DB"/>
    <w:sectPr w:rsidR="000A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15E"/>
    <w:multiLevelType w:val="hybridMultilevel"/>
    <w:tmpl w:val="54F49B6A"/>
    <w:lvl w:ilvl="0" w:tplc="6EF62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F0"/>
    <w:rsid w:val="000A20DB"/>
    <w:rsid w:val="001266DA"/>
    <w:rsid w:val="005C47A2"/>
    <w:rsid w:val="005E2EF0"/>
    <w:rsid w:val="009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FA81"/>
  <w15:chartTrackingRefBased/>
  <w15:docId w15:val="{BA324CB8-E28F-4158-9EAD-A48F46DE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F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5E2EF0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8"/>
      <w:szCs w:val="28"/>
      <w:lang w:eastAsia="hr-HR"/>
    </w:rPr>
  </w:style>
  <w:style w:type="paragraph" w:customStyle="1" w:styleId="t-9-8">
    <w:name w:val="t-9-8"/>
    <w:basedOn w:val="Normal"/>
    <w:rsid w:val="005E2E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Hiperveza">
    <w:name w:val="Hyperlink"/>
    <w:uiPriority w:val="99"/>
    <w:rsid w:val="005E2EF0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E2EF0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5E2EF0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5E2EF0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jrc/en/publication/reference-reports/common-noise-assessment-methods-europe-cnossos-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 Valerija</dc:creator>
  <cp:keywords/>
  <dc:description/>
  <cp:lastModifiedBy>Perčić Sandra</cp:lastModifiedBy>
  <cp:revision>4</cp:revision>
  <dcterms:created xsi:type="dcterms:W3CDTF">2018-10-29T08:36:00Z</dcterms:created>
  <dcterms:modified xsi:type="dcterms:W3CDTF">2018-10-29T16:41:00Z</dcterms:modified>
</cp:coreProperties>
</file>